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Verdana" w:hAnsi="Verdana" w:cs="Verdana"/>
          <w:b/>
          <w:caps w:val="0"/>
          <w:color w:val="336699"/>
          <w:spacing w:val="0"/>
          <w:sz w:val="36"/>
          <w:szCs w:val="36"/>
        </w:rPr>
      </w:pPr>
      <w:r>
        <w:rPr>
          <w:rFonts w:hint="default" w:ascii="Verdana" w:hAnsi="Verdana" w:cs="Verdana"/>
          <w:b/>
          <w:caps w:val="0"/>
          <w:color w:val="336699"/>
          <w:spacing w:val="0"/>
          <w:sz w:val="36"/>
          <w:szCs w:val="36"/>
        </w:rPr>
        <w:t>2021年闵行区教育系统第二批教师招聘岗位计划数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532"/>
        <w:gridCol w:w="19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学段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招录数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卫生保健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自然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道法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卫生保健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道法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463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2021-03-15T02:47:46Z</dcterms:created>
  <dc:creator>xiaoxiannv</dc:creator>
  <cp:lastModifiedBy>xiaoxiannv</cp:lastModifiedBy>
  <dcterms:modified xsi:type="dcterms:W3CDTF">2021-03-15T02:47:48Z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