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附件1：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color w:val="000000"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0"/>
          <w:szCs w:val="30"/>
        </w:rPr>
        <w:t>昌邑市妇幼保健院2021年控制总量内人员需求计划表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tbl>
      <w:tblPr>
        <w:tblStyle w:val="2"/>
        <w:tblW w:w="9228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984"/>
        <w:gridCol w:w="709"/>
        <w:gridCol w:w="1613"/>
        <w:gridCol w:w="1420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其他条件及要求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本科非第一学历的，需具有执业医师资格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临床医学或麻醉学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本科非第一学历的，需具有执业医师资格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放射科或超声科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医学影像学或放射医学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本科非第一学历的，需具有执业医师资格</w:t>
            </w:r>
          </w:p>
        </w:tc>
      </w:tr>
      <w:tr>
        <w:trPr>
          <w:trHeight w:val="11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中医学或针灸推拿学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本科非第一学历的，需具有中医专业执业医师资格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行政科室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1199F"/>
    <w:rsid w:val="6991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2021-04-15T03:30:00Z</dcterms:created>
  <dc:creator>小仙女</dc:creator>
  <cp:lastModifiedBy>小仙女</cp:lastModifiedBy>
  <dcterms:modified xsi:type="dcterms:W3CDTF">2021-04-15T03:32:08Z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347CAE80521B4C09BD58ECE2A17F264E</vt:lpwstr>
  </property>
</Properties>
</file>