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40" w:lineRule="exact"/>
        <w:ind w:right="640" w:firstLine="643" w:firstLineChars="200"/>
        <w:jc w:val="both"/>
        <w:rPr>
          <w:rFonts w:ascii="仿宋_GB2312" w:hAnsi="仿宋_GB2312" w:eastAsia="仿宋_GB2312" w:cs="仿宋_GB2312"/>
          <w:b/>
          <w:sz w:val="32"/>
          <w:szCs w:val="32"/>
        </w:rPr>
      </w:pPr>
      <w:bookmarkStart w:id="0" w:name="_GoBack"/>
      <w:r>
        <w:rPr>
          <w:rFonts w:hint="eastAsia" w:ascii="仿宋_GB2312" w:hAnsi="仿宋_GB2312" w:eastAsia="仿宋_GB2312" w:cs="仿宋_GB2312"/>
          <w:b/>
          <w:sz w:val="32"/>
          <w:szCs w:val="32"/>
        </w:rPr>
        <w:t>附件</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w:t>
      </w:r>
    </w:p>
    <w:bookmarkEnd w:id="0"/>
    <w:p>
      <w:pPr>
        <w:pStyle w:val="3"/>
        <w:shd w:val="clear" w:color="auto" w:fill="FFFFFF"/>
        <w:spacing w:before="0" w:beforeAutospacing="0" w:after="0" w:afterAutospacing="0" w:line="54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202</w:t>
      </w:r>
      <w:r>
        <w:rPr>
          <w:rFonts w:hint="eastAsia" w:ascii="仿宋_GB2312" w:hAnsi="仿宋_GB2312" w:eastAsia="仿宋_GB2312" w:cs="仿宋_GB2312"/>
          <w:b/>
          <w:bCs/>
          <w:sz w:val="32"/>
          <w:szCs w:val="32"/>
        </w:rPr>
        <w:t>1年黑龙江省北安市第一人民医院引进急需紧缺高层次人才</w:t>
      </w:r>
      <w:r>
        <w:rPr>
          <w:rFonts w:hint="eastAsia" w:ascii="仿宋_GB2312" w:hAnsi="仿宋_GB2312" w:eastAsia="仿宋_GB2312" w:cs="仿宋_GB2312"/>
          <w:b/>
          <w:bCs/>
          <w:color w:val="000000"/>
          <w:sz w:val="32"/>
          <w:szCs w:val="32"/>
        </w:rPr>
        <w:t>计划表</w:t>
      </w:r>
    </w:p>
    <w:p>
      <w:pPr>
        <w:spacing w:line="560" w:lineRule="exact"/>
        <w:jc w:val="center"/>
        <w:rPr>
          <w:rFonts w:ascii="仿宋" w:hAnsi="仿宋" w:eastAsia="仿宋"/>
          <w:b/>
          <w:sz w:val="32"/>
          <w:szCs w:val="32"/>
        </w:rPr>
      </w:pPr>
    </w:p>
    <w:tbl>
      <w:tblPr>
        <w:tblStyle w:val="4"/>
        <w:tblW w:w="15121" w:type="dxa"/>
        <w:tblInd w:w="0" w:type="dxa"/>
        <w:tblLayout w:type="fixed"/>
        <w:tblCellMar>
          <w:top w:w="0" w:type="dxa"/>
          <w:left w:w="0" w:type="dxa"/>
          <w:bottom w:w="0" w:type="dxa"/>
          <w:right w:w="0" w:type="dxa"/>
        </w:tblCellMar>
      </w:tblPr>
      <w:tblGrid>
        <w:gridCol w:w="935"/>
        <w:gridCol w:w="1490"/>
        <w:gridCol w:w="711"/>
        <w:gridCol w:w="1132"/>
        <w:gridCol w:w="1134"/>
        <w:gridCol w:w="2268"/>
        <w:gridCol w:w="7371"/>
        <w:gridCol w:w="80"/>
      </w:tblGrid>
      <w:tr>
        <w:tblPrEx>
          <w:tblCellMar>
            <w:top w:w="0" w:type="dxa"/>
            <w:left w:w="0" w:type="dxa"/>
            <w:bottom w:w="0" w:type="dxa"/>
            <w:right w:w="0" w:type="dxa"/>
          </w:tblCellMar>
        </w:tblPrEx>
        <w:trPr>
          <w:trHeight w:val="877" w:hRule="atLeast"/>
        </w:trPr>
        <w:tc>
          <w:tcPr>
            <w:tcW w:w="9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序号</w:t>
            </w:r>
          </w:p>
        </w:tc>
        <w:tc>
          <w:tcPr>
            <w:tcW w:w="14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岗位名称</w:t>
            </w:r>
          </w:p>
        </w:tc>
        <w:tc>
          <w:tcPr>
            <w:tcW w:w="7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引进人数</w:t>
            </w:r>
          </w:p>
        </w:tc>
        <w:tc>
          <w:tcPr>
            <w:tcW w:w="119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备注</w:t>
            </w:r>
          </w:p>
        </w:tc>
        <w:tc>
          <w:tcPr>
            <w:tcW w:w="80" w:type="dxa"/>
            <w:tcBorders>
              <w:top w:val="nil"/>
              <w:left w:val="nil"/>
              <w:bottom w:val="nil"/>
              <w:right w:val="nil"/>
            </w:tcBorders>
            <w:tcMar>
              <w:top w:w="15" w:type="dxa"/>
              <w:left w:w="15" w:type="dxa"/>
              <w:right w:w="15" w:type="dxa"/>
            </w:tcMar>
            <w:vAlign w:val="center"/>
          </w:tcPr>
          <w:p>
            <w:pPr>
              <w:jc w:val="center"/>
              <w:rPr>
                <w:rFonts w:ascii="Times New Roman" w:hAnsi="Times New Roman"/>
                <w:color w:val="000000"/>
                <w:sz w:val="24"/>
                <w:szCs w:val="24"/>
              </w:rPr>
            </w:pPr>
          </w:p>
        </w:tc>
      </w:tr>
      <w:tr>
        <w:tblPrEx>
          <w:tblCellMar>
            <w:top w:w="0" w:type="dxa"/>
            <w:left w:w="0" w:type="dxa"/>
            <w:bottom w:w="0" w:type="dxa"/>
            <w:right w:w="0" w:type="dxa"/>
          </w:tblCellMar>
        </w:tblPrEx>
        <w:trPr>
          <w:trHeight w:val="1132" w:hRule="atLeast"/>
        </w:trPr>
        <w:tc>
          <w:tcPr>
            <w:tcW w:w="9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14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7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p>
        </w:tc>
        <w:tc>
          <w:tcPr>
            <w:tcW w:w="113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一级目录</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二级目录</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专业</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24"/>
                <w:szCs w:val="24"/>
              </w:rPr>
            </w:pPr>
            <w:r>
              <w:rPr>
                <w:rFonts w:hint="eastAsia" w:ascii="宋体" w:hAnsi="宋体" w:cs="宋体"/>
                <w:b/>
                <w:color w:val="000000"/>
                <w:kern w:val="0"/>
                <w:sz w:val="20"/>
                <w:szCs w:val="20"/>
              </w:rPr>
              <w:t>其他要求</w:t>
            </w:r>
          </w:p>
        </w:tc>
        <w:tc>
          <w:tcPr>
            <w:tcW w:w="80" w:type="dxa"/>
            <w:tcBorders>
              <w:top w:val="nil"/>
              <w:left w:val="nil"/>
              <w:bottom w:val="nil"/>
              <w:right w:val="nil"/>
            </w:tcBorders>
            <w:tcMar>
              <w:top w:w="15" w:type="dxa"/>
              <w:left w:w="15" w:type="dxa"/>
              <w:right w:w="15" w:type="dxa"/>
            </w:tcMar>
            <w:vAlign w:val="center"/>
          </w:tcPr>
          <w:p>
            <w:pPr>
              <w:jc w:val="center"/>
              <w:rPr>
                <w:rFonts w:ascii="Times New Roman" w:hAnsi="Times New Roman"/>
                <w:color w:val="000000"/>
                <w:sz w:val="24"/>
                <w:szCs w:val="24"/>
              </w:rPr>
            </w:pPr>
          </w:p>
        </w:tc>
      </w:tr>
      <w:tr>
        <w:tblPrEx>
          <w:tblCellMar>
            <w:top w:w="0" w:type="dxa"/>
            <w:left w:w="0" w:type="dxa"/>
            <w:bottom w:w="0" w:type="dxa"/>
            <w:right w:w="0" w:type="dxa"/>
          </w:tblCellMar>
        </w:tblPrEx>
        <w:trPr>
          <w:trHeight w:val="4075" w:hRule="atLeast"/>
        </w:trPr>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Times New Roman" w:eastAsia="仿宋_GB2312"/>
                <w:color w:val="000000"/>
                <w:sz w:val="26"/>
                <w:szCs w:val="26"/>
              </w:rPr>
            </w:pPr>
            <w:r>
              <w:rPr>
                <w:rFonts w:hint="eastAsia" w:ascii="仿宋_GB2312" w:hAnsi="Times New Roman" w:eastAsia="仿宋_GB2312"/>
                <w:color w:val="000000"/>
                <w:sz w:val="26"/>
                <w:szCs w:val="26"/>
              </w:rPr>
              <w:t>1</w:t>
            </w:r>
          </w:p>
        </w:tc>
        <w:tc>
          <w:tcPr>
            <w:tcW w:w="1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eastAsia="仿宋_GB2312" w:cs="宋体"/>
                <w:color w:val="000000"/>
                <w:kern w:val="0"/>
                <w:sz w:val="26"/>
                <w:szCs w:val="26"/>
              </w:rPr>
            </w:pPr>
            <w:r>
              <w:rPr>
                <w:rFonts w:hint="eastAsia" w:ascii="仿宋_GB2312" w:hAnsi="宋体" w:eastAsia="仿宋_GB2312" w:cs="宋体"/>
                <w:color w:val="000000"/>
                <w:kern w:val="0"/>
                <w:sz w:val="26"/>
                <w:szCs w:val="26"/>
              </w:rPr>
              <w:t>临床各科医生、影像医生</w:t>
            </w: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Times New Roman" w:eastAsia="仿宋_GB2312"/>
                <w:color w:val="000000"/>
                <w:sz w:val="26"/>
                <w:szCs w:val="26"/>
              </w:rPr>
            </w:pPr>
            <w:r>
              <w:rPr>
                <w:rFonts w:hint="eastAsia" w:ascii="仿宋_GB2312" w:hAnsi="Times New Roman" w:eastAsia="仿宋_GB2312"/>
                <w:color w:val="000000"/>
                <w:sz w:val="26"/>
                <w:szCs w:val="26"/>
              </w:rPr>
              <w:t>8</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26"/>
                <w:szCs w:val="26"/>
              </w:rPr>
            </w:pPr>
            <w:r>
              <w:rPr>
                <w:rFonts w:hint="eastAsia" w:ascii="仿宋_GB2312" w:hAnsi="宋体" w:eastAsia="仿宋_GB2312" w:cs="宋体"/>
                <w:color w:val="000000"/>
                <w:kern w:val="0"/>
                <w:sz w:val="26"/>
                <w:szCs w:val="26"/>
              </w:rPr>
              <w:t>医药学</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26"/>
                <w:szCs w:val="26"/>
              </w:rPr>
            </w:pPr>
            <w:r>
              <w:rPr>
                <w:rFonts w:hint="eastAsia" w:ascii="仿宋_GB2312" w:hAnsi="宋体" w:eastAsia="仿宋_GB2312" w:cs="宋体"/>
                <w:color w:val="000000"/>
                <w:sz w:val="26"/>
                <w:szCs w:val="26"/>
              </w:rPr>
              <w:t>医学或药学</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26"/>
                <w:szCs w:val="26"/>
              </w:rPr>
            </w:pPr>
            <w:r>
              <w:rPr>
                <w:rFonts w:hint="eastAsia" w:ascii="仿宋_GB2312" w:hAnsi="宋体" w:eastAsia="仿宋_GB2312" w:cs="宋体"/>
                <w:color w:val="000000"/>
                <w:sz w:val="26"/>
                <w:szCs w:val="26"/>
              </w:rPr>
              <w:t>临床医学、影像学、药理学、临床药学及相关专业</w:t>
            </w:r>
          </w:p>
        </w:tc>
        <w:tc>
          <w:tcPr>
            <w:tcW w:w="7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Times New Roman" w:eastAsia="仿宋_GB2312"/>
                <w:color w:val="000000"/>
                <w:sz w:val="26"/>
                <w:szCs w:val="26"/>
              </w:rPr>
            </w:pPr>
            <w:r>
              <w:rPr>
                <w:rFonts w:hint="eastAsia" w:ascii="仿宋_GB2312" w:hAnsi="Times New Roman" w:eastAsia="仿宋_GB2312"/>
                <w:color w:val="000000"/>
                <w:sz w:val="26"/>
                <w:szCs w:val="26"/>
              </w:rPr>
              <w:t>具备相应执业资格。</w:t>
            </w:r>
          </w:p>
          <w:p>
            <w:pPr>
              <w:rPr>
                <w:rFonts w:ascii="仿宋_GB2312" w:hAnsi="Times New Roman" w:eastAsia="仿宋_GB2312"/>
                <w:color w:val="000000"/>
                <w:sz w:val="26"/>
                <w:szCs w:val="26"/>
              </w:rPr>
            </w:pPr>
            <w:r>
              <w:rPr>
                <w:rFonts w:hint="eastAsia" w:ascii="仿宋_GB2312" w:hAnsi="Times New Roman" w:eastAsia="仿宋_GB2312"/>
                <w:sz w:val="26"/>
                <w:szCs w:val="26"/>
              </w:rPr>
              <w:t>具有全日制普通高校统招硕士研究生及以上学历或具备副高级专业技术职务，具备副高级专业技术职务的人员学历可放宽至大专。年满25周岁， 40周岁以下（1981年4月1日至1996年4月1日间出生，含当日），对于业务能力强、有二级甲等及以上公立医院工作经历且具备副高级及以上专业技术任职资格的，年龄可放宽到45周岁（1976年4月1日以后出生，含当日）</w:t>
            </w:r>
          </w:p>
        </w:tc>
        <w:tc>
          <w:tcPr>
            <w:tcW w:w="80" w:type="dxa"/>
            <w:tcBorders>
              <w:top w:val="nil"/>
              <w:left w:val="nil"/>
              <w:bottom w:val="nil"/>
              <w:right w:val="nil"/>
            </w:tcBorders>
            <w:noWrap/>
            <w:tcMar>
              <w:top w:w="15" w:type="dxa"/>
              <w:left w:w="15" w:type="dxa"/>
              <w:right w:w="15" w:type="dxa"/>
            </w:tcMar>
            <w:vAlign w:val="center"/>
          </w:tcPr>
          <w:p>
            <w:pPr>
              <w:jc w:val="center"/>
              <w:rPr>
                <w:rFonts w:ascii="Times New Roman" w:hAnsi="Times New Roman"/>
                <w:color w:val="00000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6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2021-04-16T04:42:23Z</dcterms:created>
  <dc:creator>Administrator</dc:creator>
  <cp:lastModifiedBy>辉</cp:lastModifiedBy>
  <dcterms:modified xsi:type="dcterms:W3CDTF">2021-04-16T04:42:35Z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