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</w:pPr>
    </w:p>
    <w:p>
      <w:pPr>
        <w:jc w:val="center"/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</w:pPr>
    </w:p>
    <w:p>
      <w:pPr>
        <w:jc w:val="center"/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</w:pP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  <w:t>202</w:t>
      </w: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  <w:lang w:val="en-US" w:eastAsia="zh-CN"/>
        </w:rPr>
        <w:t>1</w:t>
      </w: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  <w:t>年淮安市清江浦区融媒体中心公开招聘</w:t>
      </w: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  <w:lang w:eastAsia="zh-CN"/>
        </w:rPr>
        <w:t>编外工作人员</w:t>
      </w: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  <w:t>专业目录</w:t>
      </w: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color w:val="000000"/>
          <w:sz w:val="36"/>
          <w:szCs w:val="36"/>
        </w:rPr>
      </w:pPr>
    </w:p>
    <w:tbl>
      <w:tblPr>
        <w:tblStyle w:val="2"/>
        <w:tblpPr w:leftFromText="180" w:rightFromText="180" w:vertAnchor="text" w:horzAnchor="margin" w:tblpXSpec="center" w:tblpY="3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Times New Roman" w:hAnsi="Times New Roman" w:eastAsia="黑体"/>
                <w:color w:val="000000"/>
                <w:sz w:val="36"/>
                <w:szCs w:val="36"/>
              </w:rPr>
            </w:pPr>
          </w:p>
        </w:tc>
      </w:tr>
      <w:tr>
        <w:tc>
          <w:tcPr>
            <w:tcW w:w="50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36"/>
                <w:szCs w:val="36"/>
              </w:rPr>
            </w:pPr>
            <w:r>
              <w:rPr>
                <w:rFonts w:ascii="Times New Roman" w:hAnsi="Times New Roman" w:eastAsia="黑体"/>
                <w:color w:val="000000"/>
                <w:sz w:val="36"/>
                <w:szCs w:val="36"/>
              </w:rPr>
              <w:t>20</w:t>
            </w:r>
            <w:r>
              <w:rPr>
                <w:rFonts w:hint="eastAsia" w:ascii="Times New Roman" w:hAnsi="Times New Roman" w:eastAsia="黑体"/>
                <w:color w:val="000000"/>
                <w:sz w:val="36"/>
                <w:szCs w:val="36"/>
                <w:lang w:val="en-US" w:eastAsia="zh-CN"/>
              </w:rPr>
              <w:t>21</w:t>
            </w:r>
            <w:r>
              <w:rPr>
                <w:rFonts w:ascii="Times New Roman" w:hAnsi="Times New Roman" w:eastAsia="黑体"/>
                <w:color w:val="000000"/>
                <w:sz w:val="36"/>
                <w:szCs w:val="36"/>
              </w:rPr>
              <w:t>年</w:t>
            </w:r>
            <w:r>
              <w:rPr>
                <w:rFonts w:hint="eastAsia" w:ascii="Times New Roman" w:hAnsi="Times New Roman" w:eastAsia="黑体"/>
                <w:color w:val="000000"/>
                <w:sz w:val="36"/>
                <w:szCs w:val="36"/>
                <w:lang w:val="en-US" w:eastAsia="zh-CN"/>
              </w:rPr>
              <w:t>5</w:t>
            </w:r>
            <w:r>
              <w:rPr>
                <w:rFonts w:ascii="Times New Roman" w:hAnsi="Times New Roman" w:eastAsia="黑体"/>
                <w:color w:val="000000"/>
                <w:sz w:val="36"/>
                <w:szCs w:val="36"/>
              </w:rPr>
              <w:t>月</w:t>
            </w:r>
          </w:p>
        </w:tc>
      </w:tr>
    </w:tbl>
    <w:p>
      <w:pPr>
        <w:spacing w:line="600" w:lineRule="exact"/>
        <w:rPr>
          <w:rFonts w:hint="eastAsia" w:ascii="Times New Roman" w:hAnsi="Times New Roman" w:eastAsia="方正小标宋简体"/>
          <w:color w:val="000000"/>
          <w:spacing w:val="-10"/>
          <w:sz w:val="44"/>
          <w:szCs w:val="44"/>
        </w:rPr>
      </w:pPr>
    </w:p>
    <w:p>
      <w:pPr>
        <w:rPr>
          <w:rFonts w:hint="eastAsia" w:ascii="仿宋" w:hAnsi="仿宋" w:eastAsia="仿宋" w:cs="宋体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sz w:val="32"/>
          <w:szCs w:val="32"/>
        </w:rPr>
      </w:pPr>
    </w:p>
    <w:p>
      <w:pPr>
        <w:rPr>
          <w:rFonts w:hint="eastAsia" w:ascii="仿宋" w:hAnsi="仿宋" w:eastAsia="仿宋" w:cs="宋体"/>
          <w:color w:val="000000"/>
          <w:sz w:val="32"/>
          <w:szCs w:val="32"/>
        </w:rPr>
      </w:pPr>
    </w:p>
    <w:tbl>
      <w:tblPr>
        <w:tblStyle w:val="2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3" name="组合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1" name="直接连接符 1"/>
                              <wps:cNvCn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直接连接符 2"/>
                              <wps:cNvCn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93.6pt;width:87pt;rotation:11796480f;z-index:251659264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JcjbgdcAAAAKAQAADwAA&#10;AAAAAAABACAAAAAiAAAAZHJzL2Rvd25yZXYueG1sUEsBAhQAFAAAAAgAh07iQM7ErWCJAgAAKQcA&#10;AA4AAAAAAAAAAQAgAAAAJgEAAGRycy9lMm9Eb2MueG1sUEsFBgAAAAAGAAYAWQEAACEGAAAAAA==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黑体" w:eastAsia="黑体"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 xml:space="preserve">  </w:t>
            </w:r>
          </w:p>
          <w:p>
            <w:pPr>
              <w:ind w:firstLine="315" w:firstLineChars="150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专业</w:t>
            </w:r>
          </w:p>
          <w:p>
            <w:pPr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，科学技术史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黑体" w:eastAsia="黑体"/>
                <w:color w:val="000000"/>
                <w:szCs w:val="21"/>
              </w:rPr>
            </w:pPr>
            <w:r>
              <w:rPr>
                <w:rFonts w:hint="eastAsia" w:ascii="黑体" w:eastAsia="黑体"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艺术学理论，音乐与舞蹈学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</w:t>
            </w:r>
            <w:r>
              <w:rPr>
                <w:rFonts w:ascii="Helvetica" w:hAnsi="Helvetica"/>
                <w:color w:val="000000"/>
                <w:szCs w:val="21"/>
              </w:rPr>
              <w:t>金融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，服装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设计与工程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</w:tbl>
    <w:p>
      <w:pPr>
        <w:rPr>
          <w:rFonts w:hint="eastAsia" w:ascii="仿宋" w:hAnsi="仿宋" w:eastAsia="仿宋" w:cs="宋体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43B77"/>
    <w:rsid w:val="3C120D8C"/>
    <w:rsid w:val="4C2A1B84"/>
    <w:rsid w:val="52100E17"/>
    <w:rsid w:val="604B302A"/>
    <w:rsid w:val="60CD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WPS9015</cp:lastModifiedBy>
  <cp:lastPrinted>2021-05-10T03:36:00Z</cp:lastPrinted>
  <dcterms:modified xsi:type="dcterms:W3CDTF">2021-05-10T03:36:37Z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1E9BCB927E174DFCB949C4FFD4C4C03C</vt:lpwstr>
  </property>
</Properties>
</file>