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骨科学科带头人用人计划及岗位要求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341"/>
        <w:gridCol w:w="1180"/>
        <w:gridCol w:w="2385"/>
        <w:gridCol w:w="1770"/>
        <w:gridCol w:w="1770"/>
        <w:gridCol w:w="125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岗位代码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96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专业资格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（职称）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20210101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骨科学科带头人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外科学（A100210）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研究生学历、硕士学位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副主任医师或以上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50周岁及以下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地市级及以上三甲医院骨科任职经历不少于5年</w:t>
            </w:r>
          </w:p>
        </w:tc>
      </w:tr>
    </w:tbl>
    <w:p>
      <w:pPr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1.</w:t>
      </w:r>
      <w:r>
        <w:rPr>
          <w:rFonts w:hint="eastAsia" w:ascii="楷体" w:hAnsi="楷体" w:eastAsia="楷体" w:cs="楷体"/>
          <w:color w:val="333333"/>
          <w:sz w:val="24"/>
          <w:shd w:val="clear" w:color="auto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4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4"/>
          <w:shd w:val="clear" w:color="auto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4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4"/>
          <w:shd w:val="clear" w:color="auto" w:fill="FFFFFF"/>
        </w:rPr>
        <w:t>年考试录用公务员专业参考目录》的，可选择专业要求中相近专业报考，但所学专业必修课程须与报考岗位要求的专业主要课程基本一致，</w:t>
      </w:r>
    </w:p>
    <w:p>
      <w:pPr>
        <w:pStyle w:val="4"/>
        <w:spacing w:before="0" w:beforeAutospacing="0" w:after="0" w:afterAutospacing="0" w:line="30" w:lineRule="atLeas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2.以上所列时间期限计算截止日期为接受报名截止日。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BD9"/>
    <w:rsid w:val="0063675F"/>
    <w:rsid w:val="00682BD9"/>
    <w:rsid w:val="006D7E9B"/>
    <w:rsid w:val="00C31BC5"/>
    <w:rsid w:val="00CD21E6"/>
    <w:rsid w:val="136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2021-05-10T06:15:00Z</dcterms:created>
  <dc:creator>pcf</dc:creator>
  <cp:lastModifiedBy>Archi1404921082</cp:lastModifiedBy>
  <dcterms:modified xsi:type="dcterms:W3CDTF">2021-05-11T03:53:32Z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5A15285CC67544A0A6FC789FEDAE0D7D</vt:lpwstr>
  </property>
</Properties>
</file>