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Arial"/>
          <w:color w:val="000000"/>
          <w:sz w:val="18"/>
          <w:szCs w:val="18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苏州市农业农村局</w:t>
      </w:r>
      <w:r>
        <w:rPr>
          <w:rFonts w:hint="eastAsia" w:ascii="黑体" w:hAnsi="宋体" w:eastAsia="黑体" w:cs="Arial"/>
          <w:color w:val="000000"/>
          <w:sz w:val="32"/>
          <w:szCs w:val="32"/>
        </w:rPr>
        <w:t>公开招聘公益性岗位工作人员岗位简介表</w:t>
      </w:r>
    </w:p>
    <w:bookmarkEnd w:id="0"/>
    <w:p>
      <w:pPr>
        <w:jc w:val="center"/>
        <w:rPr>
          <w:rFonts w:hint="eastAsia" w:ascii="黑体" w:hAnsi="宋体" w:eastAsia="黑体" w:cs="Arial"/>
          <w:color w:val="000000"/>
          <w:sz w:val="18"/>
          <w:szCs w:val="18"/>
        </w:rPr>
      </w:pPr>
    </w:p>
    <w:tbl>
      <w:tblPr>
        <w:tblStyle w:val="2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883"/>
        <w:gridCol w:w="2185"/>
        <w:gridCol w:w="1579"/>
        <w:gridCol w:w="1451"/>
        <w:gridCol w:w="1841"/>
        <w:gridCol w:w="1678"/>
        <w:gridCol w:w="1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招聘岗位</w:t>
            </w:r>
          </w:p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薪酬标准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苏州市农业农村局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承担日常事务管理，做好相关行政辅助工作。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本科及</w:t>
            </w:r>
          </w:p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以上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农业类、城建规划类、化学工程类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具有相应</w:t>
            </w:r>
          </w:p>
          <w:p>
            <w:pP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执行苏州市机关公益性岗位年薪等级3级</w:t>
            </w:r>
          </w:p>
        </w:tc>
      </w:tr>
    </w:tbl>
    <w:p>
      <w:p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注：招聘岗位所设公益性岗位年薪等级的薪资标准，请咨询招聘单位组织人事部门，电话：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65259458</w:t>
      </w:r>
      <w:r>
        <w:rPr>
          <w:rFonts w:hint="eastAsia"/>
          <w:sz w:val="28"/>
          <w:szCs w:val="28"/>
        </w:rPr>
        <w:t>。</w:t>
      </w: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5673D"/>
    <w:rsid w:val="1CC5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2021-05-17T02:13:00Z</dcterms:created>
  <dc:creator>小仙女</dc:creator>
  <cp:lastModifiedBy>小仙女</cp:lastModifiedBy>
  <dcterms:modified xsi:type="dcterms:W3CDTF">2021-05-17T02:15:47Z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A466DF3B8E8640F193512AED10CF4EB4</vt:lpwstr>
  </property>
</Properties>
</file>