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60" w:lineRule="exact"/>
        <w:jc w:val="both"/>
        <w:rPr>
          <w:rFonts w:ascii="黑体" w:hAnsi="宋体" w:eastAsia="黑体" w:cs="黑体"/>
          <w:color w:val="000000"/>
          <w:sz w:val="28"/>
          <w:szCs w:val="28"/>
        </w:rPr>
      </w:pPr>
      <w:r>
        <w:rPr>
          <w:rFonts w:ascii="黑体" w:hAnsi="宋体" w:eastAsia="黑体" w:cs="黑体"/>
          <w:color w:val="000000"/>
          <w:sz w:val="28"/>
          <w:szCs w:val="28"/>
        </w:rPr>
        <w:t>附件</w:t>
      </w:r>
      <w:r>
        <w:rPr>
          <w:rFonts w:hint="eastAsia" w:ascii="黑体" w:hAnsi="宋体" w:eastAsia="黑体" w:cs="黑体"/>
          <w:color w:val="000000"/>
          <w:sz w:val="28"/>
          <w:szCs w:val="28"/>
        </w:rPr>
        <w:t>3：</w:t>
      </w:r>
    </w:p>
    <w:p>
      <w:pPr>
        <w:pStyle w:val="2"/>
        <w:widowControl/>
        <w:spacing w:beforeAutospacing="0" w:afterAutospacing="0" w:line="560" w:lineRule="exact"/>
        <w:ind w:firstLine="720"/>
        <w:jc w:val="center"/>
        <w:rPr>
          <w:rFonts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浦东公安分局招聘新区文职（勤务）</w:t>
      </w:r>
    </w:p>
    <w:p>
      <w:pPr>
        <w:pStyle w:val="2"/>
        <w:widowControl/>
        <w:spacing w:beforeAutospacing="0" w:afterAutospacing="0" w:line="560" w:lineRule="exact"/>
        <w:ind w:firstLine="72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辅助人员政策问答</w:t>
      </w:r>
    </w:p>
    <w:bookmarkEnd w:id="0"/>
    <w:p>
      <w:pPr>
        <w:pStyle w:val="2"/>
        <w:widowControl/>
        <w:spacing w:beforeAutospacing="0" w:afterAutospacing="0" w:line="560" w:lineRule="exact"/>
        <w:ind w:firstLine="720"/>
        <w:jc w:val="center"/>
        <w:rPr>
          <w:rFonts w:ascii="Arial" w:hAnsi="Arial" w:cs="Arial"/>
          <w:color w:val="000000"/>
        </w:rPr>
      </w:pPr>
    </w:p>
    <w:p>
      <w:pPr>
        <w:spacing w:line="560" w:lineRule="exact"/>
        <w:ind w:firstLine="640" w:firstLineChars="200"/>
        <w:rPr>
          <w:rFonts w:ascii="黑体" w:eastAsia="黑体"/>
          <w:sz w:val="32"/>
          <w:szCs w:val="32"/>
        </w:rPr>
      </w:pPr>
      <w:r>
        <w:rPr>
          <w:rFonts w:hint="eastAsia" w:ascii="黑体" w:eastAsia="黑体"/>
          <w:sz w:val="32"/>
          <w:szCs w:val="32"/>
        </w:rPr>
        <w:t>1.此次招聘的新区文职辅助人员、新区勤务辅助人员岗位性质是什么？</w:t>
      </w:r>
    </w:p>
    <w:p>
      <w:pPr>
        <w:spacing w:line="560" w:lineRule="exact"/>
        <w:ind w:firstLine="640" w:firstLineChars="200"/>
        <w:rPr>
          <w:rFonts w:eastAsia="仿宋_GB2312"/>
          <w:sz w:val="32"/>
          <w:szCs w:val="32"/>
        </w:rPr>
      </w:pPr>
      <w:r>
        <w:rPr>
          <w:rFonts w:hint="eastAsia" w:ascii="仿宋_GB2312" w:eastAsia="仿宋_GB2312"/>
          <w:sz w:val="32"/>
          <w:szCs w:val="32"/>
        </w:rPr>
        <w:t>答：新区文职辅助人员、新区勤务辅助人员</w:t>
      </w:r>
      <w:r>
        <w:rPr>
          <w:rFonts w:hint="eastAsia" w:eastAsia="仿宋_GB2312"/>
          <w:sz w:val="32"/>
          <w:szCs w:val="32"/>
        </w:rPr>
        <w:t>是指根据社会治安形势发展和公安工作实际需要，经浦东新区区委、区政府审定身份，新区提供保障，面向社会公开招聘，为浦东公安分局日常运作和警务活动提供辅助支持的非人民警察身份人员。</w:t>
      </w:r>
      <w:r>
        <w:rPr>
          <w:rFonts w:hint="eastAsia" w:eastAsia="仿宋_GB2312"/>
          <w:color w:val="000000"/>
          <w:sz w:val="32"/>
          <w:szCs w:val="32"/>
        </w:rPr>
        <w:t>辅助人员与相关派遣机构签订劳动合同，作为派遣机构的员工，接受派遣到公安机关内部工作。派遣机构为辅助人员提供劳动人事等方面的服务，公安机关负责具体使用。新区辅助人员不具有人民警察（公务员）身份，不具有公安执法权力，不享受民警的有关待遇。</w:t>
      </w:r>
      <w:r>
        <w:rPr>
          <w:rFonts w:hint="eastAsia" w:eastAsia="仿宋_GB2312"/>
          <w:sz w:val="32"/>
          <w:szCs w:val="32"/>
        </w:rPr>
        <w:t>按照职责分工，分为新区文职辅助人员和新区勤务辅助人员。</w:t>
      </w:r>
    </w:p>
    <w:p>
      <w:pPr>
        <w:spacing w:line="560" w:lineRule="exact"/>
        <w:ind w:firstLine="640" w:firstLineChars="200"/>
        <w:rPr>
          <w:rFonts w:eastAsia="仿宋_GB2312"/>
          <w:sz w:val="32"/>
          <w:szCs w:val="32"/>
        </w:rPr>
      </w:pPr>
    </w:p>
    <w:p>
      <w:pPr>
        <w:spacing w:line="560" w:lineRule="exact"/>
        <w:ind w:firstLine="640" w:firstLineChars="200"/>
        <w:rPr>
          <w:rFonts w:ascii="黑体" w:eastAsia="黑体"/>
          <w:sz w:val="32"/>
          <w:szCs w:val="32"/>
        </w:rPr>
      </w:pPr>
      <w:r>
        <w:rPr>
          <w:rFonts w:hint="eastAsia" w:ascii="黑体" w:eastAsia="黑体"/>
          <w:sz w:val="32"/>
          <w:szCs w:val="32"/>
        </w:rPr>
        <w:t>2．对新区文职辅助人员、新区勤务辅助人员薪酬福利有何规定？</w:t>
      </w:r>
    </w:p>
    <w:p>
      <w:pPr>
        <w:spacing w:line="560" w:lineRule="exact"/>
        <w:ind w:firstLine="640" w:firstLineChars="200"/>
        <w:rPr>
          <w:rFonts w:eastAsia="仿宋_GB2312"/>
          <w:sz w:val="32"/>
          <w:szCs w:val="32"/>
        </w:rPr>
      </w:pPr>
      <w:r>
        <w:rPr>
          <w:rFonts w:hint="eastAsia" w:eastAsia="仿宋_GB2312"/>
          <w:sz w:val="32"/>
          <w:szCs w:val="32"/>
        </w:rPr>
        <w:t>答：新区文职辅助人员、新区勤务辅助人员的薪酬和单位应缴纳的社会保险及公积金，由浦东新区政府财政保障。辅助人员享受国家和本市规定的社会保险，以及年体检、休假、探亲假等带薪假期。</w:t>
      </w:r>
    </w:p>
    <w:p>
      <w:pPr>
        <w:spacing w:line="560" w:lineRule="exact"/>
        <w:ind w:firstLine="640" w:firstLineChars="200"/>
        <w:rPr>
          <w:rFonts w:eastAsia="仿宋_GB2312"/>
          <w:sz w:val="32"/>
          <w:szCs w:val="32"/>
        </w:rPr>
      </w:pPr>
      <w:r>
        <w:rPr>
          <w:rFonts w:hint="eastAsia" w:eastAsia="仿宋_GB2312"/>
          <w:sz w:val="32"/>
          <w:szCs w:val="32"/>
        </w:rPr>
        <w:t>薪酬发放项目包括根据岗位特点发放的基本工资、根据业绩情况发放的奖金。此外，新区勤务辅助人员根据在岗情况发放值勤岗位津贴，新区文职辅助人员针对特定岗位发放津贴。</w:t>
      </w:r>
    </w:p>
    <w:p>
      <w:pPr>
        <w:spacing w:line="560" w:lineRule="exact"/>
        <w:ind w:firstLine="640" w:firstLineChars="200"/>
        <w:rPr>
          <w:rFonts w:eastAsia="仿宋_GB2312"/>
          <w:sz w:val="32"/>
          <w:szCs w:val="32"/>
        </w:rPr>
      </w:pPr>
    </w:p>
    <w:p>
      <w:pPr>
        <w:spacing w:line="560" w:lineRule="exact"/>
        <w:ind w:firstLine="640" w:firstLineChars="200"/>
        <w:rPr>
          <w:rFonts w:ascii="黑体" w:eastAsia="黑体"/>
          <w:sz w:val="32"/>
          <w:szCs w:val="32"/>
        </w:rPr>
      </w:pPr>
      <w:r>
        <w:rPr>
          <w:rFonts w:hint="eastAsia" w:ascii="黑体" w:eastAsia="黑体"/>
          <w:sz w:val="32"/>
          <w:szCs w:val="32"/>
        </w:rPr>
        <w:t>3.报考者参加面试时应持有哪些证件和相关材料？</w:t>
      </w:r>
    </w:p>
    <w:p>
      <w:pPr>
        <w:spacing w:line="560" w:lineRule="exact"/>
        <w:ind w:firstLine="640" w:firstLineChars="200"/>
        <w:rPr>
          <w:rFonts w:eastAsia="仿宋_GB2312"/>
          <w:sz w:val="32"/>
          <w:szCs w:val="32"/>
        </w:rPr>
      </w:pPr>
      <w:r>
        <w:rPr>
          <w:rFonts w:hint="eastAsia" w:eastAsia="仿宋_GB2312"/>
          <w:sz w:val="32"/>
          <w:szCs w:val="32"/>
        </w:rPr>
        <w:t>答：参加面试的人员除应携带面试通知短信、本人有效居民身份证之外，还应携带户口簿、学历证书（大专或高职及以上学历的另需学历验证证明）等有关证明资料原件。</w:t>
      </w:r>
    </w:p>
    <w:p>
      <w:pPr>
        <w:spacing w:line="560" w:lineRule="exact"/>
        <w:ind w:firstLine="640" w:firstLineChars="200"/>
        <w:rPr>
          <w:rFonts w:eastAsia="仿宋_GB2312"/>
          <w:sz w:val="32"/>
          <w:szCs w:val="32"/>
        </w:rPr>
      </w:pPr>
    </w:p>
    <w:p>
      <w:pPr>
        <w:spacing w:line="560" w:lineRule="exact"/>
        <w:ind w:firstLine="640" w:firstLineChars="200"/>
        <w:rPr>
          <w:rFonts w:ascii="黑体" w:eastAsia="黑体"/>
          <w:sz w:val="32"/>
          <w:szCs w:val="32"/>
        </w:rPr>
      </w:pPr>
      <w:r>
        <w:rPr>
          <w:rFonts w:hint="eastAsia" w:ascii="黑体" w:eastAsia="黑体"/>
          <w:sz w:val="32"/>
          <w:szCs w:val="32"/>
        </w:rPr>
        <w:t>4．关于学历验证证明的相关材料如何获取？</w:t>
      </w:r>
    </w:p>
    <w:p>
      <w:pPr>
        <w:spacing w:line="560" w:lineRule="exact"/>
        <w:ind w:firstLine="640" w:firstLineChars="200"/>
        <w:rPr>
          <w:rFonts w:eastAsia="仿宋_GB2312"/>
          <w:sz w:val="32"/>
          <w:szCs w:val="32"/>
        </w:rPr>
      </w:pPr>
      <w:r>
        <w:rPr>
          <w:rFonts w:hint="eastAsia" w:eastAsia="仿宋_GB2312"/>
          <w:sz w:val="32"/>
          <w:szCs w:val="32"/>
        </w:rPr>
        <w:t>关于学历验证证明材料，一般包括《教育部学历证书电子注册备案表》或《中国高等教育学历认证报告》或《国外学历学位认证书》，具体可通过以下方式获取：</w:t>
      </w:r>
    </w:p>
    <w:p>
      <w:pPr>
        <w:spacing w:line="560" w:lineRule="exact"/>
        <w:ind w:firstLine="640" w:firstLineChars="200"/>
        <w:rPr>
          <w:rFonts w:eastAsia="仿宋_GB2312"/>
          <w:sz w:val="32"/>
          <w:szCs w:val="32"/>
        </w:rPr>
      </w:pPr>
      <w:r>
        <w:rPr>
          <w:rFonts w:hint="eastAsia" w:eastAsia="仿宋_GB2312"/>
          <w:sz w:val="32"/>
          <w:szCs w:val="32"/>
        </w:rPr>
        <w:t xml:space="preserve">（1）《教育部学历证书电子注册备案表》 </w:t>
      </w:r>
    </w:p>
    <w:p>
      <w:pPr>
        <w:spacing w:line="560" w:lineRule="exact"/>
        <w:ind w:firstLine="640" w:firstLineChars="200"/>
        <w:rPr>
          <w:rFonts w:eastAsia="仿宋_GB2312"/>
          <w:sz w:val="32"/>
          <w:szCs w:val="32"/>
        </w:rPr>
      </w:pPr>
      <w:r>
        <w:rPr>
          <w:rFonts w:hint="eastAsia" w:eastAsia="仿宋_GB2312"/>
          <w:sz w:val="32"/>
          <w:szCs w:val="32"/>
        </w:rPr>
        <w:t>具体获取方法详见学信网：</w:t>
      </w:r>
    </w:p>
    <w:p>
      <w:pPr>
        <w:spacing w:line="560" w:lineRule="exact"/>
        <w:ind w:firstLine="640" w:firstLineChars="200"/>
        <w:rPr>
          <w:rFonts w:eastAsia="仿宋_GB2312"/>
          <w:sz w:val="32"/>
          <w:szCs w:val="32"/>
        </w:rPr>
      </w:pPr>
      <w:r>
        <w:rPr>
          <w:rFonts w:eastAsia="仿宋_GB2312"/>
          <w:sz w:val="32"/>
          <w:szCs w:val="32"/>
        </w:rPr>
        <w:t xml:space="preserve">https://www.chsi.com.cn/xlcx/rhsq.jsp </w:t>
      </w:r>
    </w:p>
    <w:p>
      <w:pPr>
        <w:spacing w:line="560" w:lineRule="exact"/>
        <w:ind w:firstLine="640" w:firstLineChars="200"/>
        <w:rPr>
          <w:rFonts w:eastAsia="仿宋_GB2312"/>
          <w:sz w:val="32"/>
          <w:szCs w:val="32"/>
        </w:rPr>
      </w:pPr>
      <w:r>
        <w:rPr>
          <w:rFonts w:hint="eastAsia" w:eastAsia="仿宋_GB2312"/>
          <w:sz w:val="32"/>
          <w:szCs w:val="32"/>
        </w:rPr>
        <w:t xml:space="preserve">（2）《中国高等教育学历认证报告》 </w:t>
      </w:r>
    </w:p>
    <w:p>
      <w:pPr>
        <w:spacing w:line="560" w:lineRule="exact"/>
        <w:ind w:firstLine="640" w:firstLineChars="200"/>
        <w:rPr>
          <w:rFonts w:eastAsia="仿宋_GB2312"/>
          <w:sz w:val="32"/>
          <w:szCs w:val="32"/>
        </w:rPr>
      </w:pPr>
      <w:r>
        <w:rPr>
          <w:rFonts w:hint="eastAsia" w:eastAsia="仿宋_GB2312"/>
          <w:sz w:val="32"/>
          <w:szCs w:val="32"/>
        </w:rPr>
        <w:t>具体获取方法详见学信网：</w:t>
      </w:r>
    </w:p>
    <w:p>
      <w:pPr>
        <w:spacing w:line="560" w:lineRule="exact"/>
        <w:ind w:firstLine="640" w:firstLineChars="200"/>
        <w:rPr>
          <w:rFonts w:eastAsia="仿宋_GB2312"/>
          <w:sz w:val="32"/>
          <w:szCs w:val="32"/>
        </w:rPr>
      </w:pPr>
      <w:r>
        <w:rPr>
          <w:rFonts w:eastAsia="仿宋_GB2312"/>
          <w:sz w:val="32"/>
          <w:szCs w:val="32"/>
        </w:rPr>
        <w:t>https://www.chsi.com.cn/xlrz/index.jsp</w:t>
      </w:r>
    </w:p>
    <w:p>
      <w:pPr>
        <w:spacing w:line="560" w:lineRule="exact"/>
        <w:ind w:firstLine="640" w:firstLineChars="200"/>
        <w:rPr>
          <w:rFonts w:eastAsia="仿宋_GB2312"/>
          <w:sz w:val="32"/>
          <w:szCs w:val="32"/>
        </w:rPr>
      </w:pPr>
      <w:r>
        <w:rPr>
          <w:rFonts w:hint="eastAsia" w:eastAsia="仿宋_GB2312"/>
          <w:sz w:val="32"/>
          <w:szCs w:val="32"/>
        </w:rPr>
        <w:t>（3）教育部留学服务中心《国外学历学位认证书》</w:t>
      </w:r>
    </w:p>
    <w:p>
      <w:pPr>
        <w:spacing w:line="560" w:lineRule="exact"/>
        <w:ind w:firstLine="640" w:firstLineChars="200"/>
        <w:rPr>
          <w:rFonts w:eastAsia="仿宋_GB2312"/>
          <w:sz w:val="32"/>
          <w:szCs w:val="32"/>
        </w:rPr>
      </w:pPr>
      <w:r>
        <w:rPr>
          <w:rFonts w:hint="eastAsia" w:eastAsia="仿宋_GB2312"/>
          <w:sz w:val="32"/>
          <w:szCs w:val="32"/>
        </w:rPr>
        <w:t>具体获取方法详见中国留学网：</w:t>
      </w:r>
    </w:p>
    <w:p>
      <w:pPr>
        <w:spacing w:line="560" w:lineRule="exact"/>
        <w:ind w:firstLine="640" w:firstLineChars="200"/>
        <w:rPr>
          <w:rFonts w:eastAsia="仿宋_GB2312"/>
          <w:sz w:val="32"/>
          <w:szCs w:val="32"/>
        </w:rPr>
      </w:pPr>
      <w:r>
        <w:rPr>
          <w:rFonts w:eastAsia="仿宋_GB2312"/>
          <w:sz w:val="32"/>
          <w:szCs w:val="32"/>
        </w:rPr>
        <w:t>http://zwfw.cscse.edu.cn/cscse/xlxwrz/391584/index.html</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ascii="黑体" w:eastAsia="黑体"/>
          <w:sz w:val="32"/>
          <w:szCs w:val="32"/>
        </w:rPr>
      </w:pPr>
      <w:r>
        <w:rPr>
          <w:rFonts w:hint="eastAsia" w:ascii="黑体" w:eastAsia="黑体"/>
          <w:sz w:val="32"/>
          <w:szCs w:val="32"/>
        </w:rPr>
        <w:t>5．报考新区勤务一线执法辅助岗位的体能测试内容和合格标准是什么？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答：体能测试内容是男子1000米跑，女子800米跑，具体合格标准如下：</w:t>
      </w:r>
    </w:p>
    <w:tbl>
      <w:tblPr>
        <w:tblStyle w:val="4"/>
        <w:tblW w:w="6409"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3201"/>
        <w:gridCol w:w="320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56" w:hRule="atLeast"/>
          <w:jc w:val="center"/>
        </w:trPr>
        <w:tc>
          <w:tcPr>
            <w:tcW w:w="3201" w:type="dxa"/>
            <w:tcBorders>
              <w:top w:val="single" w:color="auto" w:sz="8" w:space="0"/>
              <w:left w:val="single" w:color="auto" w:sz="8" w:space="0"/>
              <w:bottom w:val="single" w:color="auto" w:sz="8" w:space="0"/>
              <w:right w:val="single" w:color="auto" w:sz="8" w:space="0"/>
            </w:tcBorders>
            <w:vAlign w:val="center"/>
          </w:tcPr>
          <w:p>
            <w:pPr>
              <w:pStyle w:val="2"/>
              <w:widowControl/>
              <w:spacing w:beforeAutospacing="0" w:after="150" w:afterAutospacing="0" w:line="27" w:lineRule="atLeast"/>
              <w:ind w:firstLine="560"/>
              <w:jc w:val="center"/>
              <w:rPr>
                <w:rFonts w:ascii="仿宋_GB2312" w:hAnsi="Arial" w:eastAsia="仿宋_GB2312" w:cs="Arial"/>
                <w:color w:val="000000"/>
              </w:rPr>
            </w:pPr>
            <w:r>
              <w:rPr>
                <w:rFonts w:hint="eastAsia" w:ascii="仿宋_GB2312" w:hAnsi="宋体" w:eastAsia="仿宋_GB2312" w:cs="黑体"/>
                <w:color w:val="000000"/>
                <w:sz w:val="28"/>
                <w:szCs w:val="28"/>
              </w:rPr>
              <w:t>项目</w:t>
            </w:r>
          </w:p>
        </w:tc>
        <w:tc>
          <w:tcPr>
            <w:tcW w:w="3208" w:type="dxa"/>
            <w:tcBorders>
              <w:top w:val="single" w:color="auto" w:sz="8" w:space="0"/>
              <w:left w:val="single" w:color="auto" w:sz="8" w:space="0"/>
              <w:right w:val="single" w:color="auto" w:sz="8" w:space="0"/>
            </w:tcBorders>
            <w:vAlign w:val="center"/>
          </w:tcPr>
          <w:p>
            <w:pPr>
              <w:pStyle w:val="2"/>
              <w:widowControl/>
              <w:spacing w:beforeAutospacing="0" w:after="150" w:afterAutospacing="0" w:line="27" w:lineRule="atLeast"/>
              <w:ind w:firstLine="560"/>
              <w:jc w:val="center"/>
              <w:rPr>
                <w:rFonts w:ascii="仿宋_GB2312" w:hAnsi="Arial" w:eastAsia="仿宋_GB2312" w:cs="Arial"/>
                <w:color w:val="000000"/>
              </w:rPr>
            </w:pPr>
            <w:r>
              <w:rPr>
                <w:rFonts w:hint="eastAsia" w:ascii="仿宋_GB2312" w:hAnsi="宋体" w:eastAsia="仿宋_GB2312" w:cs="黑体"/>
                <w:color w:val="000000"/>
                <w:sz w:val="28"/>
                <w:szCs w:val="28"/>
              </w:rPr>
              <w:t>合格标准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01" w:type="dxa"/>
            <w:tcBorders>
              <w:top w:val="single" w:color="auto" w:sz="8" w:space="0"/>
              <w:left w:val="single" w:color="auto" w:sz="8" w:space="0"/>
              <w:bottom w:val="single" w:color="auto" w:sz="8" w:space="0"/>
              <w:right w:val="single" w:color="auto" w:sz="8" w:space="0"/>
            </w:tcBorders>
            <w:vAlign w:val="center"/>
          </w:tcPr>
          <w:p>
            <w:pPr>
              <w:pStyle w:val="2"/>
              <w:widowControl/>
              <w:spacing w:beforeAutospacing="0" w:after="150" w:afterAutospacing="0" w:line="27" w:lineRule="atLeast"/>
              <w:ind w:firstLine="560"/>
              <w:jc w:val="center"/>
              <w:rPr>
                <w:rFonts w:ascii="仿宋_GB2312" w:hAnsi="Arial" w:eastAsia="仿宋_GB2312" w:cs="Arial"/>
                <w:color w:val="000000"/>
              </w:rPr>
            </w:pPr>
            <w:r>
              <w:rPr>
                <w:rFonts w:hint="eastAsia" w:ascii="仿宋_GB2312" w:hAnsi="Arial" w:eastAsia="仿宋_GB2312" w:cs="Arial"/>
                <w:color w:val="000000"/>
                <w:sz w:val="28"/>
                <w:szCs w:val="28"/>
              </w:rPr>
              <w:t>1000</w:t>
            </w:r>
            <w:r>
              <w:rPr>
                <w:rFonts w:hint="eastAsia" w:ascii="仿宋_GB2312" w:hAnsi="宋体" w:eastAsia="仿宋_GB2312" w:cs="黑体"/>
                <w:color w:val="000000"/>
                <w:sz w:val="28"/>
                <w:szCs w:val="28"/>
              </w:rPr>
              <w:t>米跑（男子）</w:t>
            </w:r>
          </w:p>
        </w:tc>
        <w:tc>
          <w:tcPr>
            <w:tcW w:w="3208" w:type="dxa"/>
            <w:tcBorders>
              <w:top w:val="single" w:color="auto" w:sz="8" w:space="0"/>
              <w:left w:val="single" w:color="auto" w:sz="8" w:space="0"/>
              <w:bottom w:val="single" w:color="auto" w:sz="8" w:space="0"/>
              <w:right w:val="single" w:color="auto" w:sz="8" w:space="0"/>
            </w:tcBorders>
            <w:vAlign w:val="center"/>
          </w:tcPr>
          <w:p>
            <w:pPr>
              <w:pStyle w:val="2"/>
              <w:widowControl/>
              <w:spacing w:beforeAutospacing="0" w:after="150" w:afterAutospacing="0" w:line="27" w:lineRule="atLeast"/>
              <w:ind w:firstLine="560"/>
              <w:jc w:val="center"/>
              <w:rPr>
                <w:rFonts w:ascii="仿宋_GB2312" w:hAnsi="Arial" w:eastAsia="仿宋_GB2312" w:cs="Arial"/>
                <w:color w:val="000000"/>
              </w:rPr>
            </w:pPr>
            <w:r>
              <w:rPr>
                <w:rFonts w:hint="eastAsia" w:ascii="仿宋_GB2312" w:hAnsi="Arial" w:eastAsia="仿宋_GB2312" w:cs="Arial"/>
                <w:color w:val="000000"/>
                <w:sz w:val="28"/>
                <w:szCs w:val="28"/>
              </w:rPr>
              <w:t>≤4′35″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01" w:type="dxa"/>
            <w:tcBorders>
              <w:top w:val="single" w:color="auto" w:sz="8" w:space="0"/>
              <w:left w:val="single" w:color="auto" w:sz="8" w:space="0"/>
              <w:bottom w:val="single" w:color="auto" w:sz="8" w:space="0"/>
              <w:right w:val="single" w:color="auto" w:sz="8" w:space="0"/>
            </w:tcBorders>
            <w:vAlign w:val="center"/>
          </w:tcPr>
          <w:p>
            <w:pPr>
              <w:pStyle w:val="2"/>
              <w:widowControl/>
              <w:spacing w:beforeAutospacing="0" w:after="150" w:afterAutospacing="0" w:line="27" w:lineRule="atLeast"/>
              <w:ind w:firstLine="560"/>
              <w:jc w:val="center"/>
              <w:rPr>
                <w:rFonts w:ascii="仿宋_GB2312" w:hAnsi="Arial" w:eastAsia="仿宋_GB2312" w:cs="Arial"/>
                <w:color w:val="000000"/>
              </w:rPr>
            </w:pPr>
            <w:r>
              <w:rPr>
                <w:rFonts w:hint="eastAsia" w:ascii="仿宋_GB2312" w:hAnsi="Arial" w:eastAsia="仿宋_GB2312" w:cs="Arial"/>
                <w:color w:val="000000"/>
                <w:sz w:val="28"/>
                <w:szCs w:val="28"/>
              </w:rPr>
              <w:t>800</w:t>
            </w:r>
            <w:r>
              <w:rPr>
                <w:rFonts w:hint="eastAsia" w:ascii="仿宋_GB2312" w:hAnsi="宋体" w:eastAsia="仿宋_GB2312" w:cs="黑体"/>
                <w:color w:val="000000"/>
                <w:sz w:val="28"/>
                <w:szCs w:val="28"/>
              </w:rPr>
              <w:t>米跑（女子）</w:t>
            </w:r>
          </w:p>
        </w:tc>
        <w:tc>
          <w:tcPr>
            <w:tcW w:w="3208" w:type="dxa"/>
            <w:tcBorders>
              <w:top w:val="single" w:color="auto" w:sz="8" w:space="0"/>
              <w:left w:val="single" w:color="auto" w:sz="8" w:space="0"/>
              <w:bottom w:val="single" w:color="auto" w:sz="8" w:space="0"/>
              <w:right w:val="single" w:color="auto" w:sz="8" w:space="0"/>
            </w:tcBorders>
            <w:vAlign w:val="center"/>
          </w:tcPr>
          <w:p>
            <w:pPr>
              <w:pStyle w:val="2"/>
              <w:widowControl/>
              <w:spacing w:beforeAutospacing="0" w:after="150" w:afterAutospacing="0" w:line="27" w:lineRule="atLeast"/>
              <w:ind w:firstLine="560"/>
              <w:jc w:val="center"/>
              <w:rPr>
                <w:rFonts w:ascii="仿宋_GB2312" w:hAnsi="Arial" w:eastAsia="仿宋_GB2312" w:cs="Arial"/>
                <w:color w:val="000000"/>
              </w:rPr>
            </w:pPr>
            <w:r>
              <w:rPr>
                <w:rFonts w:hint="eastAsia" w:ascii="仿宋_GB2312" w:hAnsi="Arial" w:eastAsia="仿宋_GB2312" w:cs="Arial"/>
                <w:color w:val="000000"/>
                <w:sz w:val="28"/>
                <w:szCs w:val="28"/>
              </w:rPr>
              <w:t>≤4′36″</w:t>
            </w:r>
          </w:p>
        </w:tc>
      </w:tr>
    </w:tbl>
    <w:p>
      <w:pPr>
        <w:spacing w:line="560" w:lineRule="exact"/>
        <w:ind w:firstLine="640" w:firstLineChars="200"/>
        <w:rPr>
          <w:rFonts w:eastAsia="仿宋_GB2312"/>
          <w:sz w:val="32"/>
          <w:szCs w:val="32"/>
        </w:rPr>
      </w:pPr>
    </w:p>
    <w:p>
      <w:pPr>
        <w:spacing w:line="560" w:lineRule="exact"/>
        <w:ind w:firstLine="640" w:firstLineChars="200"/>
        <w:rPr>
          <w:rFonts w:ascii="黑体" w:eastAsia="黑体"/>
          <w:sz w:val="32"/>
          <w:szCs w:val="32"/>
        </w:rPr>
      </w:pPr>
      <w:r>
        <w:rPr>
          <w:rFonts w:hint="eastAsia" w:ascii="黑体" w:eastAsia="黑体"/>
          <w:sz w:val="32"/>
          <w:szCs w:val="32"/>
        </w:rPr>
        <w:t>6．</w:t>
      </w:r>
      <w:r>
        <w:rPr>
          <w:rFonts w:ascii="黑体" w:eastAsia="黑体"/>
          <w:sz w:val="32"/>
          <w:szCs w:val="32"/>
        </w:rPr>
        <w:t>对编造假文凭、假经历、假证照、考试作弊等弄虚作假行为的报考者应如何进行处理？</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答：一经发现并查实，立即取消其本次考试、聘用资格。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50838"/>
    <w:rsid w:val="53A5083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ouxt\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2021-05-20T02:11:00Z</dcterms:created>
  <dc:creator>凡人~烦人</dc:creator>
  <cp:lastModifiedBy>凡人~烦人</cp:lastModifiedBy>
  <dcterms:modified xsi:type="dcterms:W3CDTF">2021-05-20T02:13:41Z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