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b w:val="0"/>
          <w:color w:val="000000"/>
          <w:szCs w:val="32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</w:rPr>
        <w:t>南充市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lang w:val="en-US" w:eastAsia="zh-CN"/>
        </w:rPr>
        <w:t>信访局直属事业单位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年公开考调工作人员岗位和条件要求一览表</w:t>
      </w:r>
    </w:p>
    <w:tbl>
      <w:tblPr>
        <w:tblStyle w:val="4"/>
        <w:tblW w:w="14595" w:type="dxa"/>
        <w:jc w:val="center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218"/>
        <w:gridCol w:w="1001"/>
        <w:gridCol w:w="1005"/>
        <w:gridCol w:w="735"/>
        <w:gridCol w:w="2715"/>
        <w:gridCol w:w="1575"/>
        <w:gridCol w:w="1606"/>
        <w:gridCol w:w="1845"/>
        <w:gridCol w:w="1319"/>
        <w:gridCol w:w="960"/>
      </w:tblGrid>
      <w:tr>
        <w:tblPrEx>
          <w:tblLayout w:type="fixed"/>
        </w:tblPrEx>
        <w:trPr>
          <w:trHeight w:val="775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考调单位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  <w:t>考调岗位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  <w:t>考调</w:t>
            </w: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     人数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考调对象</w:t>
            </w: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及范围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学历(学位)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专业条件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考试科目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kern w:val="0"/>
                <w:sz w:val="21"/>
                <w:szCs w:val="21"/>
              </w:rPr>
              <w:t>及顺序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南充市群众工作中心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行政管理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1.面向全省县级及以上机关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全额拨款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事业单位在编在岗满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周年及以上的干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部（公务员〈含参公〉为科员，管理人员为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级职员及以下或专业技术人员十级及以下）。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2.见公告。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1、笔试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2、面试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南充市群众工作中心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综合技术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1.面向全省县级及以上机关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全额拨款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事业单位在编在岗满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周年及以上的干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部（公务员〈含参公〉为科员，管理人员为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级职员及以下或专业技术人员十级及以下）。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1"/>
                <w:szCs w:val="21"/>
              </w:rPr>
              <w:t>2.见公告。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日及以后出生。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1、笔试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1"/>
                <w:szCs w:val="21"/>
              </w:rPr>
              <w:t>2、面试</w:t>
            </w:r>
          </w:p>
        </w:tc>
      </w:tr>
    </w:tbl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color w:val="000000"/>
          <w:szCs w:val="32"/>
        </w:rPr>
      </w:pPr>
    </w:p>
    <w:p>
      <w:pPr>
        <w:widowControl/>
        <w:spacing w:line="540" w:lineRule="exact"/>
        <w:jc w:val="left"/>
        <w:textAlignment w:val="center"/>
        <w:rPr>
          <w:rFonts w:hint="eastAsia" w:ascii="方正黑体简体" w:hAnsi="方正黑体简体" w:eastAsia="方正黑体简体" w:cs="方正黑体简体"/>
          <w:b w:val="0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南充市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信访局直属事业单位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01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年公开考调事业单位基本情况一览表</w:t>
      </w:r>
    </w:p>
    <w:tbl>
      <w:tblPr>
        <w:tblStyle w:val="4"/>
        <w:tblW w:w="14125" w:type="dxa"/>
        <w:jc w:val="center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315"/>
        <w:gridCol w:w="1962"/>
        <w:gridCol w:w="88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eastAsia="zh-CN"/>
              </w:rPr>
              <w:t>南充市群众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eastAsia="zh-CN"/>
              </w:rPr>
              <w:t>工作中心</w:t>
            </w:r>
          </w:p>
        </w:tc>
        <w:tc>
          <w:tcPr>
            <w:tcW w:w="1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eastAsia="zh-CN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  <w:t>全额拔款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  <w:t>事业单位</w:t>
            </w:r>
          </w:p>
        </w:tc>
        <w:tc>
          <w:tcPr>
            <w:tcW w:w="19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  <w:t>南充市顺庆区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  <w:lang w:val="en-US" w:eastAsia="zh-CN"/>
              </w:rPr>
              <w:t>万年西路2号</w:t>
            </w:r>
          </w:p>
        </w:tc>
        <w:tc>
          <w:tcPr>
            <w:tcW w:w="88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sz w:val="28"/>
                <w:szCs w:val="28"/>
              </w:rPr>
              <w:t>负责接待到市委、市政府和市群众工作中心来访群众的信访登记，收集社情民意，提供政策咨询、疏导解释等事务性工作；负责市级领导、进驻单位（部门）接待群众来访、约访、下访相关服务工作；完成上级交办的其他工作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rPr>
          <w:rFonts w:ascii="宋体" w:hAnsi="宋体" w:eastAsia="宋体"/>
          <w:b w:val="0"/>
          <w:color w:val="000000"/>
          <w:szCs w:val="32"/>
        </w:rPr>
        <w:sectPr>
          <w:pgSz w:w="16840" w:h="11907" w:orient="landscape"/>
          <w:pgMar w:top="1134" w:right="1134" w:bottom="1134" w:left="1134" w:header="851" w:footer="850" w:gutter="0"/>
          <w:cols w:space="720" w:num="1"/>
          <w:rtlGutter w:val="0"/>
          <w:docGrid w:linePitch="597" w:charSpace="0"/>
        </w:sectPr>
      </w:pPr>
    </w:p>
    <w:p>
      <w:pPr>
        <w:widowControl/>
        <w:spacing w:line="540" w:lineRule="exact"/>
        <w:jc w:val="left"/>
        <w:textAlignment w:val="center"/>
        <w:rPr>
          <w:rFonts w:hint="eastAsia" w:ascii="宋体" w:hAnsi="宋体" w:eastAsia="宋体"/>
          <w:b w:val="0"/>
          <w:color w:val="000000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</w:rPr>
        <w:t>附件3</w:t>
      </w:r>
      <w:r>
        <w:rPr>
          <w:rFonts w:hint="eastAsia" w:ascii="方正黑体简体" w:hAnsi="方正黑体简体" w:eastAsia="方正黑体简体" w:cs="方正黑体简体"/>
          <w:b w:val="0"/>
          <w:color w:val="000000"/>
          <w:szCs w:val="32"/>
        </w:rPr>
        <w:t xml:space="preserve">     </w:t>
      </w:r>
      <w:r>
        <w:rPr>
          <w:rFonts w:hint="eastAsia" w:ascii="宋体" w:hAnsi="宋体" w:eastAsia="宋体"/>
          <w:b w:val="0"/>
          <w:color w:val="000000"/>
          <w:szCs w:val="32"/>
        </w:rPr>
        <w:t xml:space="preserve"> 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南充市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信访局直属事业单位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年公开考调工作人员报名表</w:t>
      </w:r>
    </w:p>
    <w:tbl>
      <w:tblPr>
        <w:tblStyle w:val="4"/>
        <w:tblW w:w="9619" w:type="dxa"/>
        <w:jc w:val="center"/>
        <w:tblInd w:w="-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出 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照 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健 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参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联 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身 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67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干部管理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0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4A35"/>
    <w:rsid w:val="098B4A35"/>
    <w:rsid w:val="626F22B4"/>
    <w:rsid w:val="655143EC"/>
    <w:rsid w:val="7EC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Lenovo</dc:creator>
  <cp:lastModifiedBy>Lenovo</cp:lastModifiedBy>
  <cp:lastPrinted>2021-05-19T01:39:02Z</cp:lastPrinted>
  <dcterms:modified xsi:type="dcterms:W3CDTF">2021-05-19T01:43:40Z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